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96" w:rsidRPr="00877F77" w:rsidRDefault="00D61996" w:rsidP="00D61996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Приложение N 2</w:t>
      </w:r>
    </w:p>
    <w:p w:rsidR="00D61996" w:rsidRPr="00877F77" w:rsidRDefault="00D61996" w:rsidP="00D61996">
      <w:pPr>
        <w:pStyle w:val="ConsPlusNormal"/>
        <w:jc w:val="right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>к Порядку</w:t>
      </w:r>
    </w:p>
    <w:p w:rsidR="00D61996" w:rsidRDefault="00D61996" w:rsidP="00D61996">
      <w:pPr>
        <w:spacing w:line="240" w:lineRule="auto"/>
        <w:contextualSpacing/>
        <w:jc w:val="center"/>
        <w:rPr>
          <w:rFonts w:ascii="PT Astra Serif" w:eastAsiaTheme="minorEastAsia" w:hAnsi="PT Astra Serif" w:cs="Calibri"/>
          <w:sz w:val="28"/>
          <w:szCs w:val="28"/>
          <w:lang w:eastAsia="ru-RU"/>
        </w:rPr>
      </w:pPr>
      <w:bookmarkStart w:id="0" w:name="P242"/>
      <w:bookmarkEnd w:id="0"/>
    </w:p>
    <w:p w:rsidR="00D61996" w:rsidRPr="008D6914" w:rsidRDefault="00D61996" w:rsidP="00D61996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D6914">
        <w:rPr>
          <w:rFonts w:ascii="PT Astra Serif" w:hAnsi="PT Astra Serif"/>
          <w:b/>
          <w:sz w:val="28"/>
          <w:szCs w:val="28"/>
        </w:rPr>
        <w:t>СВЕДЕНИЯ</w:t>
      </w:r>
    </w:p>
    <w:p w:rsidR="00D61996" w:rsidRPr="008D6914" w:rsidRDefault="00D61996" w:rsidP="00D61996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D6914">
        <w:rPr>
          <w:rFonts w:ascii="PT Astra Serif" w:hAnsi="PT Astra Serif"/>
          <w:b/>
          <w:sz w:val="28"/>
          <w:szCs w:val="28"/>
        </w:rPr>
        <w:t xml:space="preserve">для расчёта показателей ежеквартального мониторинга </w:t>
      </w:r>
    </w:p>
    <w:p w:rsidR="00D61996" w:rsidRPr="008D6914" w:rsidRDefault="00D61996" w:rsidP="00D61996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D6914">
        <w:rPr>
          <w:rFonts w:ascii="PT Astra Serif" w:hAnsi="PT Astra Serif"/>
          <w:b/>
          <w:sz w:val="28"/>
          <w:szCs w:val="28"/>
        </w:rPr>
        <w:t>качества финансового менеджмента, осуществляемого главными</w:t>
      </w:r>
    </w:p>
    <w:p w:rsidR="00D61996" w:rsidRPr="008D6914" w:rsidRDefault="00D61996" w:rsidP="00D61996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8D6914">
        <w:rPr>
          <w:rFonts w:ascii="PT Astra Serif" w:hAnsi="PT Astra Serif"/>
          <w:b/>
          <w:sz w:val="28"/>
          <w:szCs w:val="28"/>
        </w:rPr>
        <w:t xml:space="preserve">распорядителями средств бюджета </w:t>
      </w:r>
      <w:r>
        <w:rPr>
          <w:rFonts w:ascii="PT Astra Serif" w:hAnsi="PT Astra Serif"/>
          <w:b/>
          <w:sz w:val="28"/>
          <w:szCs w:val="28"/>
        </w:rPr>
        <w:t>МО</w:t>
      </w:r>
      <w:r w:rsidRPr="008D6914">
        <w:rPr>
          <w:rFonts w:ascii="PT Astra Serif" w:hAnsi="PT Astra Serif"/>
          <w:b/>
          <w:sz w:val="28"/>
          <w:szCs w:val="28"/>
        </w:rPr>
        <w:t xml:space="preserve"> «Мелекесский район» Ульяновской области</w:t>
      </w:r>
    </w:p>
    <w:p w:rsidR="00D61996" w:rsidRPr="00A042FF" w:rsidRDefault="00A042FF" w:rsidP="00D61996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A042FF">
        <w:rPr>
          <w:rFonts w:ascii="PT Astra Serif" w:hAnsi="PT Astra Serif"/>
          <w:b/>
          <w:sz w:val="28"/>
          <w:szCs w:val="28"/>
          <w:u w:val="single"/>
        </w:rPr>
        <w:t xml:space="preserve">на 01 июля 2024 </w:t>
      </w:r>
      <w:r w:rsidR="00D61996" w:rsidRPr="00A042FF">
        <w:rPr>
          <w:rFonts w:ascii="PT Astra Serif" w:hAnsi="PT Astra Serif"/>
          <w:b/>
          <w:sz w:val="28"/>
          <w:szCs w:val="28"/>
          <w:u w:val="single"/>
        </w:rPr>
        <w:t>г.</w:t>
      </w:r>
    </w:p>
    <w:p w:rsidR="00D61996" w:rsidRPr="008D6914" w:rsidRDefault="00D61996" w:rsidP="00D61996">
      <w:pPr>
        <w:pStyle w:val="ConsPlusNonformat"/>
        <w:contextualSpacing/>
        <w:jc w:val="both"/>
        <w:rPr>
          <w:rFonts w:ascii="PT Astra Serif" w:hAnsi="PT Astra Serif"/>
          <w:sz w:val="28"/>
          <w:szCs w:val="28"/>
        </w:rPr>
      </w:pPr>
    </w:p>
    <w:p w:rsidR="00A042FF" w:rsidRDefault="00D61996" w:rsidP="00A042FF">
      <w:pPr>
        <w:spacing w:line="240" w:lineRule="auto"/>
        <w:contextualSpacing/>
        <w:rPr>
          <w:rFonts w:ascii="PT Astra Serif" w:hAnsi="PT Astra Serif"/>
          <w:bCs/>
          <w:iCs/>
          <w:sz w:val="28"/>
          <w:szCs w:val="28"/>
        </w:rPr>
      </w:pPr>
      <w:r w:rsidRPr="008D6914">
        <w:rPr>
          <w:rFonts w:ascii="PT Astra Serif" w:hAnsi="PT Astra Serif"/>
          <w:bCs/>
          <w:iCs/>
          <w:sz w:val="28"/>
          <w:szCs w:val="28"/>
        </w:rPr>
        <w:t xml:space="preserve">Главный распорядитель средств бюджета </w:t>
      </w:r>
      <w:proofErr w:type="gramStart"/>
      <w:r>
        <w:rPr>
          <w:rFonts w:ascii="PT Astra Serif" w:hAnsi="PT Astra Serif"/>
          <w:bCs/>
          <w:iCs/>
          <w:sz w:val="28"/>
          <w:szCs w:val="28"/>
        </w:rPr>
        <w:t>МО</w:t>
      </w:r>
      <w:r w:rsidRPr="008D6914">
        <w:rPr>
          <w:rFonts w:ascii="PT Astra Serif" w:hAnsi="PT Astra Serif"/>
          <w:bCs/>
          <w:iCs/>
          <w:sz w:val="28"/>
          <w:szCs w:val="28"/>
        </w:rPr>
        <w:t xml:space="preserve"> </w:t>
      </w:r>
      <w:r w:rsidR="00A042FF">
        <w:rPr>
          <w:rFonts w:ascii="PT Astra Serif" w:hAnsi="PT Astra Serif"/>
          <w:bCs/>
          <w:iCs/>
          <w:sz w:val="28"/>
          <w:szCs w:val="28"/>
        </w:rPr>
        <w:t xml:space="preserve"> </w:t>
      </w:r>
      <w:r w:rsidRPr="008D6914">
        <w:rPr>
          <w:rFonts w:ascii="PT Astra Serif" w:hAnsi="PT Astra Serif"/>
          <w:bCs/>
          <w:iCs/>
          <w:sz w:val="28"/>
          <w:szCs w:val="28"/>
        </w:rPr>
        <w:t>«</w:t>
      </w:r>
      <w:proofErr w:type="gramEnd"/>
      <w:r w:rsidRPr="008D6914">
        <w:rPr>
          <w:rFonts w:ascii="PT Astra Serif" w:hAnsi="PT Astra Serif"/>
          <w:bCs/>
          <w:iCs/>
          <w:sz w:val="28"/>
          <w:szCs w:val="28"/>
        </w:rPr>
        <w:t>Мелекесский район» Ульяновской области (далее – ГРБС)</w:t>
      </w:r>
    </w:p>
    <w:p w:rsidR="00D61996" w:rsidRPr="00A042FF" w:rsidRDefault="00A042FF" w:rsidP="00A042FF">
      <w:pPr>
        <w:spacing w:line="240" w:lineRule="auto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A042FF">
        <w:rPr>
          <w:rFonts w:ascii="PT Astra Serif" w:hAnsi="PT Astra Serif"/>
          <w:bCs/>
          <w:iCs/>
          <w:sz w:val="28"/>
          <w:szCs w:val="28"/>
          <w:u w:val="single"/>
        </w:rPr>
        <w:t>Финансовое управление администрации МО «Мелекесский район»</w:t>
      </w:r>
    </w:p>
    <w:tbl>
      <w:tblPr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0"/>
        <w:gridCol w:w="4508"/>
        <w:gridCol w:w="993"/>
        <w:gridCol w:w="1275"/>
        <w:gridCol w:w="2268"/>
        <w:gridCol w:w="13"/>
      </w:tblGrid>
      <w:tr w:rsidR="00D61996" w:rsidRPr="007A79CF" w:rsidTr="00BA4DF7">
        <w:trPr>
          <w:gridAfter w:val="1"/>
          <w:wAfter w:w="13" w:type="dxa"/>
        </w:trPr>
        <w:tc>
          <w:tcPr>
            <w:tcW w:w="590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N п/п</w:t>
            </w:r>
          </w:p>
        </w:tc>
        <w:tc>
          <w:tcPr>
            <w:tcW w:w="4508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Наименование показателя качества финансового менеджмента</w:t>
            </w:r>
          </w:p>
        </w:tc>
        <w:tc>
          <w:tcPr>
            <w:tcW w:w="993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Значение</w:t>
            </w:r>
          </w:p>
        </w:tc>
        <w:tc>
          <w:tcPr>
            <w:tcW w:w="2268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Отдел (специалист), ответственный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за проверку сведений, представленных ГРБС </w:t>
            </w:r>
          </w:p>
        </w:tc>
      </w:tr>
      <w:tr w:rsidR="00D61996" w:rsidRPr="007A79CF" w:rsidTr="00BA4DF7">
        <w:trPr>
          <w:gridAfter w:val="1"/>
          <w:wAfter w:w="13" w:type="dxa"/>
        </w:trPr>
        <w:tc>
          <w:tcPr>
            <w:tcW w:w="590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508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1275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61996" w:rsidRPr="007A79CF" w:rsidTr="00BA4DF7">
        <w:tc>
          <w:tcPr>
            <w:tcW w:w="590" w:type="dxa"/>
          </w:tcPr>
          <w:p w:rsidR="00D61996" w:rsidRPr="007A79CF" w:rsidRDefault="00D61996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57" w:type="dxa"/>
            <w:gridSpan w:val="5"/>
          </w:tcPr>
          <w:p w:rsidR="00D61996" w:rsidRPr="007A79CF" w:rsidRDefault="00D61996" w:rsidP="00BA4DF7">
            <w:pPr>
              <w:pStyle w:val="ConsPlusNormal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</w:rPr>
            </w:pPr>
            <w:r w:rsidRPr="007A79CF">
              <w:rPr>
                <w:rFonts w:ascii="PT Astra Serif" w:hAnsi="PT Astra Serif"/>
                <w:b/>
                <w:sz w:val="24"/>
                <w:szCs w:val="24"/>
              </w:rPr>
              <w:t>Качество финансового планирования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</w:tr>
      <w:tr w:rsidR="00D61996" w:rsidRPr="007A79CF" w:rsidTr="00BA4DF7">
        <w:trPr>
          <w:gridAfter w:val="1"/>
          <w:wAfter w:w="13" w:type="dxa"/>
        </w:trPr>
        <w:tc>
          <w:tcPr>
            <w:tcW w:w="590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508" w:type="dxa"/>
          </w:tcPr>
          <w:p w:rsidR="00D61996" w:rsidRPr="007A79CF" w:rsidRDefault="00D61996" w:rsidP="00BA4D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 xml:space="preserve">Количество уведомлений об изменении бюджетных назначений сводной бюджетной росписи бюджета 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муниципального образования 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«Мелекесский район» (далее МО «Мелекесский район) Ульяновской области (за исключением поступлений из </w:t>
            </w:r>
            <w:r w:rsidRPr="007D5966">
              <w:rPr>
                <w:rFonts w:ascii="PT Astra Serif" w:hAnsi="PT Astra Serif"/>
                <w:sz w:val="24"/>
                <w:szCs w:val="24"/>
              </w:rPr>
              <w:t>областного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бюджета, резервного фонда МО «Мелекесский район» Ульяновской области)</w:t>
            </w:r>
          </w:p>
        </w:tc>
        <w:tc>
          <w:tcPr>
            <w:tcW w:w="993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:rsidR="00D61996" w:rsidRPr="007A79CF" w:rsidRDefault="007611DB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</w:tcPr>
          <w:p w:rsidR="00D61996" w:rsidRPr="007A79CF" w:rsidRDefault="00D61996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 xml:space="preserve">Бюджетный отдел Финансового управления </w:t>
            </w:r>
            <w:r>
              <w:rPr>
                <w:rFonts w:ascii="PT Astra Serif" w:hAnsi="PT Astra Serif"/>
                <w:sz w:val="24"/>
                <w:szCs w:val="24"/>
              </w:rPr>
              <w:t>администрации МО «Мелекесский район»</w:t>
            </w:r>
          </w:p>
          <w:p w:rsidR="00D61996" w:rsidRPr="007A79CF" w:rsidRDefault="00D61996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61996" w:rsidRPr="007A79CF" w:rsidTr="00BA4DF7">
        <w:trPr>
          <w:gridAfter w:val="1"/>
          <w:wAfter w:w="13" w:type="dxa"/>
        </w:trPr>
        <w:tc>
          <w:tcPr>
            <w:tcW w:w="590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508" w:type="dxa"/>
          </w:tcPr>
          <w:p w:rsidR="00D61996" w:rsidRPr="007A79CF" w:rsidRDefault="00D61996" w:rsidP="00BA4D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 xml:space="preserve">Сумма положительных изменений сводной бюджетной росписи бюджета  </w:t>
            </w:r>
            <w:r>
              <w:rPr>
                <w:rFonts w:ascii="PT Astra Serif" w:hAnsi="PT Astra Serif"/>
                <w:sz w:val="24"/>
                <w:szCs w:val="24"/>
              </w:rPr>
              <w:t>МО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«Мелекесский район» Ульяновской области в отчетном периоде</w:t>
            </w:r>
          </w:p>
        </w:tc>
        <w:tc>
          <w:tcPr>
            <w:tcW w:w="993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</w:tcPr>
          <w:p w:rsidR="00D61996" w:rsidRPr="007A79CF" w:rsidRDefault="007611DB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6080,6</w:t>
            </w:r>
          </w:p>
        </w:tc>
        <w:tc>
          <w:tcPr>
            <w:tcW w:w="2268" w:type="dxa"/>
            <w:vMerge/>
          </w:tcPr>
          <w:p w:rsidR="00D61996" w:rsidRPr="007A79CF" w:rsidRDefault="00D61996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61996" w:rsidRPr="007A79CF" w:rsidTr="00BA4DF7">
        <w:trPr>
          <w:gridAfter w:val="1"/>
          <w:wAfter w:w="13" w:type="dxa"/>
        </w:trPr>
        <w:tc>
          <w:tcPr>
            <w:tcW w:w="590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4508" w:type="dxa"/>
          </w:tcPr>
          <w:p w:rsidR="00D61996" w:rsidRPr="007A79CF" w:rsidRDefault="00D61996" w:rsidP="00BA4D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 xml:space="preserve">Объем бюджетных ассигнований ГРБС согласно сводной бюджетной росписи бюджета  </w:t>
            </w:r>
            <w:r>
              <w:rPr>
                <w:rFonts w:ascii="PT Astra Serif" w:hAnsi="PT Astra Serif"/>
                <w:sz w:val="24"/>
                <w:szCs w:val="24"/>
              </w:rPr>
              <w:t>МО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«Мелекесский район» Ульяновской области с учетом внесенных в нее изменений по состоянию на конец отчетного периода</w:t>
            </w:r>
          </w:p>
        </w:tc>
        <w:tc>
          <w:tcPr>
            <w:tcW w:w="993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</w:tcPr>
          <w:p w:rsidR="00D61996" w:rsidRPr="007A79CF" w:rsidRDefault="007611DB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64392,5</w:t>
            </w:r>
          </w:p>
        </w:tc>
        <w:tc>
          <w:tcPr>
            <w:tcW w:w="2268" w:type="dxa"/>
            <w:vMerge/>
          </w:tcPr>
          <w:p w:rsidR="00D61996" w:rsidRPr="007A79CF" w:rsidRDefault="00D61996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61996" w:rsidRPr="007A79CF" w:rsidTr="00BA4DF7">
        <w:tc>
          <w:tcPr>
            <w:tcW w:w="590" w:type="dxa"/>
          </w:tcPr>
          <w:p w:rsidR="00D61996" w:rsidRPr="007A79CF" w:rsidRDefault="00D61996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57" w:type="dxa"/>
            <w:gridSpan w:val="5"/>
          </w:tcPr>
          <w:p w:rsidR="00D61996" w:rsidRPr="007A79CF" w:rsidRDefault="00D61996" w:rsidP="00BA4DF7">
            <w:pPr>
              <w:pStyle w:val="ConsPlusNormal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</w:rPr>
            </w:pPr>
            <w:r w:rsidRPr="007A79CF">
              <w:rPr>
                <w:rFonts w:ascii="PT Astra Serif" w:hAnsi="PT Astra Serif"/>
                <w:b/>
                <w:sz w:val="24"/>
                <w:szCs w:val="24"/>
              </w:rPr>
              <w:t>Качество управления расходами областного бюджета</w:t>
            </w:r>
          </w:p>
        </w:tc>
      </w:tr>
      <w:tr w:rsidR="00D61996" w:rsidRPr="007A79CF" w:rsidTr="00BA4DF7">
        <w:trPr>
          <w:gridAfter w:val="1"/>
          <w:wAfter w:w="13" w:type="dxa"/>
        </w:trPr>
        <w:tc>
          <w:tcPr>
            <w:tcW w:w="590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508" w:type="dxa"/>
          </w:tcPr>
          <w:p w:rsidR="00D61996" w:rsidRPr="007A79CF" w:rsidRDefault="00D61996" w:rsidP="00BA4D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Сумма бюджетных ассигнований ГРБС исполненных в рамках муниципальных программ</w:t>
            </w:r>
          </w:p>
        </w:tc>
        <w:tc>
          <w:tcPr>
            <w:tcW w:w="993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</w:tcPr>
          <w:p w:rsidR="00D61996" w:rsidRPr="007A79CF" w:rsidRDefault="007611DB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31818,4</w:t>
            </w:r>
          </w:p>
        </w:tc>
        <w:tc>
          <w:tcPr>
            <w:tcW w:w="2268" w:type="dxa"/>
            <w:vMerge w:val="restart"/>
          </w:tcPr>
          <w:p w:rsidR="00D61996" w:rsidRDefault="00D61996" w:rsidP="00BA4DF7">
            <w:r w:rsidRPr="007A79CF">
              <w:rPr>
                <w:rFonts w:ascii="PT Astra Serif" w:hAnsi="PT Astra Serif"/>
                <w:sz w:val="24"/>
                <w:szCs w:val="24"/>
              </w:rPr>
              <w:t xml:space="preserve">Бюджетный отдел Финансового управления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администрации МО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«Мелекесский район»</w:t>
            </w:r>
          </w:p>
        </w:tc>
      </w:tr>
      <w:tr w:rsidR="00D61996" w:rsidRPr="007A79CF" w:rsidTr="00BA4DF7">
        <w:trPr>
          <w:gridAfter w:val="1"/>
          <w:wAfter w:w="13" w:type="dxa"/>
        </w:trPr>
        <w:tc>
          <w:tcPr>
            <w:tcW w:w="590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508" w:type="dxa"/>
          </w:tcPr>
          <w:p w:rsidR="00D61996" w:rsidRPr="007A79CF" w:rsidRDefault="00D61996" w:rsidP="00BA4D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 xml:space="preserve">Кассовые расходы ГРБС на конец </w:t>
            </w:r>
            <w:r w:rsidRPr="007A79CF">
              <w:rPr>
                <w:rFonts w:ascii="PT Astra Serif" w:hAnsi="PT Astra Serif"/>
                <w:sz w:val="24"/>
                <w:szCs w:val="24"/>
              </w:rPr>
              <w:lastRenderedPageBreak/>
              <w:t>отчетного периода</w:t>
            </w:r>
          </w:p>
        </w:tc>
        <w:tc>
          <w:tcPr>
            <w:tcW w:w="993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тыс. </w:t>
            </w:r>
            <w:r w:rsidRPr="007A79CF">
              <w:rPr>
                <w:rFonts w:ascii="PT Astra Serif" w:hAnsi="PT Astra Serif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1275" w:type="dxa"/>
          </w:tcPr>
          <w:p w:rsidR="00D61996" w:rsidRPr="007A79CF" w:rsidRDefault="007611DB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31818,4</w:t>
            </w:r>
          </w:p>
        </w:tc>
        <w:tc>
          <w:tcPr>
            <w:tcW w:w="2268" w:type="dxa"/>
            <w:vMerge/>
          </w:tcPr>
          <w:p w:rsidR="00D61996" w:rsidRDefault="00D61996" w:rsidP="00BA4DF7"/>
        </w:tc>
      </w:tr>
      <w:tr w:rsidR="00D61996" w:rsidRPr="007A79CF" w:rsidTr="00BA4DF7">
        <w:trPr>
          <w:gridAfter w:val="1"/>
          <w:wAfter w:w="13" w:type="dxa"/>
        </w:trPr>
        <w:tc>
          <w:tcPr>
            <w:tcW w:w="590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4508" w:type="dxa"/>
          </w:tcPr>
          <w:p w:rsidR="00D61996" w:rsidRPr="007A79CF" w:rsidRDefault="00D61996" w:rsidP="00BA4D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993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</w:tcPr>
          <w:p w:rsidR="00D61996" w:rsidRPr="007A79CF" w:rsidRDefault="007611DB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restart"/>
          </w:tcPr>
          <w:p w:rsidR="00D61996" w:rsidRPr="007A79CF" w:rsidRDefault="00D61996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7A79CF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79CF">
              <w:rPr>
                <w:rFonts w:ascii="Times New Roman" w:hAnsi="Times New Roman" w:cs="Times New Roman"/>
                <w:sz w:val="24"/>
                <w:szCs w:val="24"/>
              </w:rPr>
              <w:t>, отчетности и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A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консолидированного </w:t>
            </w:r>
            <w:r w:rsidRPr="007A79C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управления МО «Мелекесский район»</w:t>
            </w:r>
          </w:p>
        </w:tc>
      </w:tr>
      <w:tr w:rsidR="00D61996" w:rsidRPr="007A79CF" w:rsidTr="00BA4DF7">
        <w:trPr>
          <w:gridAfter w:val="1"/>
          <w:wAfter w:w="13" w:type="dxa"/>
        </w:trPr>
        <w:tc>
          <w:tcPr>
            <w:tcW w:w="590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4508" w:type="dxa"/>
          </w:tcPr>
          <w:p w:rsidR="00D61996" w:rsidRPr="007A79CF" w:rsidRDefault="00D61996" w:rsidP="00BA4D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Объем просроченной кредиторской задолженности на начало отчетного периода</w:t>
            </w:r>
          </w:p>
        </w:tc>
        <w:tc>
          <w:tcPr>
            <w:tcW w:w="993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</w:tcPr>
          <w:p w:rsidR="00D61996" w:rsidRPr="007A79CF" w:rsidRDefault="007611DB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</w:tcPr>
          <w:p w:rsidR="00D61996" w:rsidRPr="007A79CF" w:rsidRDefault="00D61996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61996" w:rsidRPr="007A79CF" w:rsidTr="00BA4DF7">
        <w:trPr>
          <w:gridAfter w:val="1"/>
          <w:wAfter w:w="13" w:type="dxa"/>
        </w:trPr>
        <w:tc>
          <w:tcPr>
            <w:tcW w:w="590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8.</w:t>
            </w:r>
          </w:p>
        </w:tc>
        <w:tc>
          <w:tcPr>
            <w:tcW w:w="4508" w:type="dxa"/>
          </w:tcPr>
          <w:p w:rsidR="00D61996" w:rsidRPr="007A79CF" w:rsidRDefault="00D61996" w:rsidP="00BA4D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Объем просроченной дебиторской задолженности на конец отчетного периода</w:t>
            </w:r>
          </w:p>
        </w:tc>
        <w:tc>
          <w:tcPr>
            <w:tcW w:w="993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</w:tcPr>
          <w:p w:rsidR="00D61996" w:rsidRPr="007A79CF" w:rsidRDefault="007611DB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</w:tcPr>
          <w:p w:rsidR="00D61996" w:rsidRPr="007A79CF" w:rsidRDefault="00D61996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61996" w:rsidRPr="007A79CF" w:rsidTr="00BA4DF7">
        <w:trPr>
          <w:gridAfter w:val="1"/>
          <w:wAfter w:w="13" w:type="dxa"/>
        </w:trPr>
        <w:tc>
          <w:tcPr>
            <w:tcW w:w="590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9.</w:t>
            </w:r>
          </w:p>
        </w:tc>
        <w:tc>
          <w:tcPr>
            <w:tcW w:w="4508" w:type="dxa"/>
          </w:tcPr>
          <w:p w:rsidR="00D61996" w:rsidRPr="007A79CF" w:rsidRDefault="00D61996" w:rsidP="00BA4D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Объем просроченной дебиторской задолженности на начало отчетного периода</w:t>
            </w:r>
          </w:p>
        </w:tc>
        <w:tc>
          <w:tcPr>
            <w:tcW w:w="993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</w:tcPr>
          <w:p w:rsidR="00D61996" w:rsidRPr="007A79CF" w:rsidRDefault="007611DB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</w:tcPr>
          <w:p w:rsidR="00D61996" w:rsidRPr="007A79CF" w:rsidRDefault="00D61996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61996" w:rsidRPr="007A79CF" w:rsidTr="00BA4DF7">
        <w:trPr>
          <w:gridAfter w:val="1"/>
          <w:wAfter w:w="13" w:type="dxa"/>
        </w:trPr>
        <w:tc>
          <w:tcPr>
            <w:tcW w:w="590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10.</w:t>
            </w:r>
          </w:p>
        </w:tc>
        <w:tc>
          <w:tcPr>
            <w:tcW w:w="4508" w:type="dxa"/>
          </w:tcPr>
          <w:p w:rsidR="00D61996" w:rsidRPr="007A79CF" w:rsidRDefault="00D61996" w:rsidP="00BA4D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 xml:space="preserve">Сумма, подлежащая взысканию по поступившим с начала финансового года исполнительным документам, за счет средств бюджета  </w:t>
            </w:r>
            <w:r>
              <w:rPr>
                <w:rFonts w:ascii="PT Astra Serif" w:hAnsi="PT Astra Serif"/>
                <w:sz w:val="24"/>
                <w:szCs w:val="24"/>
              </w:rPr>
              <w:t>МО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«Мелекесский район» Ульяновской области по состоянию на конец отчетного периода</w:t>
            </w:r>
          </w:p>
        </w:tc>
        <w:tc>
          <w:tcPr>
            <w:tcW w:w="993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</w:tcPr>
          <w:p w:rsidR="00D61996" w:rsidRPr="007A79CF" w:rsidRDefault="007611DB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61996" w:rsidRPr="003237F7" w:rsidRDefault="00D61996" w:rsidP="00BA4DF7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944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Pr="00251278">
              <w:rPr>
                <w:rFonts w:ascii="Times New Roman" w:hAnsi="Times New Roman" w:cs="Times New Roman"/>
                <w:sz w:val="24"/>
                <w:szCs w:val="24"/>
              </w:rPr>
              <w:t xml:space="preserve"> казначейского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консолидированного бюджета Ф</w:t>
            </w:r>
            <w:r w:rsidRPr="00251278">
              <w:rPr>
                <w:rFonts w:ascii="Times New Roman" w:hAnsi="Times New Roman" w:cs="Times New Roman"/>
                <w:sz w:val="24"/>
                <w:szCs w:val="24"/>
              </w:rPr>
              <w:t>инансового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администрации МО «Мелекесский район»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(юрист)</w:t>
            </w:r>
          </w:p>
          <w:p w:rsidR="00D61996" w:rsidRPr="007A79CF" w:rsidRDefault="00D61996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61996" w:rsidRPr="007A79CF" w:rsidTr="00BA4DF7">
        <w:tc>
          <w:tcPr>
            <w:tcW w:w="590" w:type="dxa"/>
          </w:tcPr>
          <w:p w:rsidR="00D61996" w:rsidRPr="007A79CF" w:rsidRDefault="00D61996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57" w:type="dxa"/>
            <w:gridSpan w:val="5"/>
          </w:tcPr>
          <w:p w:rsidR="00D61996" w:rsidRPr="007A79CF" w:rsidRDefault="00D61996" w:rsidP="00BA4DF7">
            <w:pPr>
              <w:pStyle w:val="ConsPlusNormal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</w:rPr>
            </w:pPr>
            <w:r w:rsidRPr="007A79CF">
              <w:rPr>
                <w:rFonts w:ascii="PT Astra Serif" w:hAnsi="PT Astra Serif"/>
                <w:b/>
                <w:sz w:val="24"/>
                <w:szCs w:val="24"/>
              </w:rPr>
              <w:t>Качество управления доходами областного бюджета</w:t>
            </w:r>
          </w:p>
        </w:tc>
      </w:tr>
      <w:tr w:rsidR="00D61996" w:rsidRPr="007A79CF" w:rsidTr="00BA4DF7">
        <w:trPr>
          <w:gridAfter w:val="1"/>
          <w:wAfter w:w="13" w:type="dxa"/>
        </w:trPr>
        <w:tc>
          <w:tcPr>
            <w:tcW w:w="590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508" w:type="dxa"/>
          </w:tcPr>
          <w:p w:rsidR="00D61996" w:rsidRPr="007A79CF" w:rsidRDefault="00D61996" w:rsidP="00BA4D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 xml:space="preserve">Сумма просроченной дебиторской задолженности по неналоговым доходам в бюджет  </w:t>
            </w:r>
            <w:r>
              <w:rPr>
                <w:rFonts w:ascii="PT Astra Serif" w:hAnsi="PT Astra Serif"/>
                <w:sz w:val="24"/>
                <w:szCs w:val="24"/>
              </w:rPr>
              <w:t>МО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«Мелекесский район» Ульяновской области на начало отчетного периода</w:t>
            </w:r>
          </w:p>
        </w:tc>
        <w:tc>
          <w:tcPr>
            <w:tcW w:w="993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</w:tcPr>
          <w:p w:rsidR="00D61996" w:rsidRPr="007A79CF" w:rsidRDefault="00D61996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61996" w:rsidRPr="007A79CF" w:rsidRDefault="00D61996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0C3612">
              <w:rPr>
                <w:rFonts w:ascii="Times New Roman" w:hAnsi="Times New Roman" w:cs="Times New Roman"/>
                <w:sz w:val="24"/>
                <w:szCs w:val="24"/>
              </w:rPr>
              <w:t xml:space="preserve"> по планированию и исполнению доходов консолидированного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управления </w:t>
            </w:r>
            <w:r>
              <w:rPr>
                <w:rFonts w:ascii="PT Astra Serif" w:hAnsi="PT Astra Serif"/>
                <w:sz w:val="24"/>
                <w:szCs w:val="24"/>
              </w:rPr>
              <w:t>администрации МО «Мелекесский район»</w:t>
            </w:r>
          </w:p>
          <w:p w:rsidR="00D61996" w:rsidRPr="007A79CF" w:rsidRDefault="00D61996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61996" w:rsidRPr="007A79CF" w:rsidTr="00BA4DF7">
        <w:trPr>
          <w:gridAfter w:val="1"/>
          <w:wAfter w:w="13" w:type="dxa"/>
        </w:trPr>
        <w:tc>
          <w:tcPr>
            <w:tcW w:w="590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12.</w:t>
            </w:r>
          </w:p>
        </w:tc>
        <w:tc>
          <w:tcPr>
            <w:tcW w:w="4508" w:type="dxa"/>
          </w:tcPr>
          <w:p w:rsidR="00D61996" w:rsidRPr="007A79CF" w:rsidRDefault="00D61996" w:rsidP="00BA4D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 xml:space="preserve">Сумма просроченной дебиторской задолженности по неналоговым доходам в бюджет  </w:t>
            </w:r>
            <w:r>
              <w:rPr>
                <w:rFonts w:ascii="PT Astra Serif" w:hAnsi="PT Astra Serif"/>
                <w:sz w:val="24"/>
                <w:szCs w:val="24"/>
              </w:rPr>
              <w:t>МО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«Мелекесский район» Ульяновской области на конец отчетного периода</w:t>
            </w:r>
          </w:p>
        </w:tc>
        <w:tc>
          <w:tcPr>
            <w:tcW w:w="993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</w:tcPr>
          <w:p w:rsidR="00D61996" w:rsidRPr="007A79CF" w:rsidRDefault="00D61996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61996" w:rsidRPr="007A79CF" w:rsidRDefault="00D61996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61996" w:rsidRPr="007A79CF" w:rsidTr="00BA4DF7">
        <w:trPr>
          <w:gridAfter w:val="1"/>
          <w:wAfter w:w="13" w:type="dxa"/>
        </w:trPr>
        <w:tc>
          <w:tcPr>
            <w:tcW w:w="590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13.</w:t>
            </w:r>
          </w:p>
        </w:tc>
        <w:tc>
          <w:tcPr>
            <w:tcW w:w="4508" w:type="dxa"/>
          </w:tcPr>
          <w:p w:rsidR="00D61996" w:rsidRPr="007A79CF" w:rsidRDefault="00D61996" w:rsidP="00BA4D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Объем невыясненных поступлений за отчетный период</w:t>
            </w:r>
          </w:p>
        </w:tc>
        <w:tc>
          <w:tcPr>
            <w:tcW w:w="993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</w:tcPr>
          <w:p w:rsidR="00D61996" w:rsidRPr="007A79CF" w:rsidRDefault="007611DB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0,9</w:t>
            </w:r>
          </w:p>
        </w:tc>
        <w:tc>
          <w:tcPr>
            <w:tcW w:w="2268" w:type="dxa"/>
            <w:vMerge/>
          </w:tcPr>
          <w:p w:rsidR="00D61996" w:rsidRPr="007A79CF" w:rsidRDefault="00D61996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61996" w:rsidRPr="007A79CF" w:rsidTr="00BA4DF7">
        <w:tc>
          <w:tcPr>
            <w:tcW w:w="590" w:type="dxa"/>
          </w:tcPr>
          <w:p w:rsidR="00D61996" w:rsidRPr="007A79CF" w:rsidRDefault="00D61996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57" w:type="dxa"/>
            <w:gridSpan w:val="5"/>
          </w:tcPr>
          <w:p w:rsidR="00D61996" w:rsidRPr="007A79CF" w:rsidRDefault="00D61996" w:rsidP="00BA4DF7">
            <w:pPr>
              <w:pStyle w:val="ConsPlusNormal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</w:rPr>
            </w:pPr>
            <w:r w:rsidRPr="007A79CF">
              <w:rPr>
                <w:rFonts w:ascii="PT Astra Serif" w:hAnsi="PT Astra Serif"/>
                <w:b/>
                <w:sz w:val="24"/>
                <w:szCs w:val="24"/>
              </w:rPr>
              <w:t>Качество осуществления закупок товаров, работ и услуг для обеспечения нужд</w:t>
            </w:r>
          </w:p>
        </w:tc>
      </w:tr>
      <w:tr w:rsidR="00D61996" w:rsidRPr="007A79CF" w:rsidTr="00BA4DF7">
        <w:trPr>
          <w:gridAfter w:val="1"/>
          <w:wAfter w:w="13" w:type="dxa"/>
        </w:trPr>
        <w:tc>
          <w:tcPr>
            <w:tcW w:w="590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14.</w:t>
            </w:r>
          </w:p>
        </w:tc>
        <w:tc>
          <w:tcPr>
            <w:tcW w:w="4508" w:type="dxa"/>
          </w:tcPr>
          <w:p w:rsidR="00D61996" w:rsidRPr="007A79CF" w:rsidRDefault="00D61996" w:rsidP="00BA4D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 xml:space="preserve">Количество контрактов, заключенных с единственным поставщиком (подрядчиком, исполнителем) по результатам несостоявшихся конкурентных способов определения </w:t>
            </w:r>
            <w:r w:rsidRPr="007A79CF">
              <w:rPr>
                <w:rFonts w:ascii="PT Astra Serif" w:hAnsi="PT Astra Serif"/>
                <w:sz w:val="24"/>
                <w:szCs w:val="24"/>
              </w:rPr>
              <w:lastRenderedPageBreak/>
              <w:t>поставщиков (подрядчиков, исполнителей) в отчетном периоде</w:t>
            </w:r>
          </w:p>
        </w:tc>
        <w:tc>
          <w:tcPr>
            <w:tcW w:w="993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75" w:type="dxa"/>
          </w:tcPr>
          <w:p w:rsidR="00D61996" w:rsidRPr="007A79CF" w:rsidRDefault="007611DB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268" w:type="dxa"/>
            <w:vMerge w:val="restart"/>
          </w:tcPr>
          <w:p w:rsidR="00D61996" w:rsidRPr="007A79CF" w:rsidRDefault="00D61996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A944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Pr="00251278">
              <w:rPr>
                <w:rFonts w:ascii="Times New Roman" w:hAnsi="Times New Roman" w:cs="Times New Roman"/>
                <w:sz w:val="24"/>
                <w:szCs w:val="24"/>
              </w:rPr>
              <w:t xml:space="preserve"> казначейского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251278">
              <w:rPr>
                <w:rFonts w:ascii="Times New Roman" w:hAnsi="Times New Roman" w:cs="Times New Roman"/>
                <w:sz w:val="24"/>
                <w:szCs w:val="24"/>
              </w:rPr>
              <w:t>инансового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администрации МО «Мелекесский район»</w:t>
            </w:r>
          </w:p>
        </w:tc>
      </w:tr>
      <w:tr w:rsidR="00D61996" w:rsidRPr="007A79CF" w:rsidTr="00BA4DF7">
        <w:trPr>
          <w:gridAfter w:val="1"/>
          <w:wAfter w:w="13" w:type="dxa"/>
        </w:trPr>
        <w:tc>
          <w:tcPr>
            <w:tcW w:w="590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508" w:type="dxa"/>
          </w:tcPr>
          <w:p w:rsidR="00D61996" w:rsidRPr="007A79CF" w:rsidRDefault="00D61996" w:rsidP="00BA4D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Общее количество заключенных контрактов в отчетном периоде</w:t>
            </w:r>
          </w:p>
        </w:tc>
        <w:tc>
          <w:tcPr>
            <w:tcW w:w="993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:rsidR="00D61996" w:rsidRPr="007A79CF" w:rsidRDefault="007611DB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</w:tcPr>
          <w:p w:rsidR="00D61996" w:rsidRPr="007A79CF" w:rsidRDefault="00D61996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61996" w:rsidRPr="007A79CF" w:rsidTr="00BA4DF7">
        <w:trPr>
          <w:gridAfter w:val="1"/>
          <w:wAfter w:w="13" w:type="dxa"/>
        </w:trPr>
        <w:tc>
          <w:tcPr>
            <w:tcW w:w="590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508" w:type="dxa"/>
          </w:tcPr>
          <w:p w:rsidR="00D61996" w:rsidRPr="007A79CF" w:rsidRDefault="00D61996" w:rsidP="00BA4D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Количество контрактов, заключенных с субъектами малого предпринимательства, социально ориентированных некоммерческих организаций</w:t>
            </w:r>
          </w:p>
        </w:tc>
        <w:tc>
          <w:tcPr>
            <w:tcW w:w="993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:rsidR="00D61996" w:rsidRPr="007A79CF" w:rsidRDefault="007611DB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268" w:type="dxa"/>
            <w:vMerge/>
          </w:tcPr>
          <w:p w:rsidR="00D61996" w:rsidRPr="007A79CF" w:rsidRDefault="00D61996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61996" w:rsidRPr="007A79CF" w:rsidTr="00BA4DF7">
        <w:trPr>
          <w:gridAfter w:val="1"/>
          <w:wAfter w:w="13" w:type="dxa"/>
        </w:trPr>
        <w:tc>
          <w:tcPr>
            <w:tcW w:w="590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17.</w:t>
            </w:r>
          </w:p>
        </w:tc>
        <w:tc>
          <w:tcPr>
            <w:tcW w:w="4508" w:type="dxa"/>
          </w:tcPr>
          <w:p w:rsidR="00D61996" w:rsidRPr="007A79CF" w:rsidRDefault="00D61996" w:rsidP="00BA4D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Суммарная начальная (максимальная) цена контрактов всех конкурентных закупок, извещения об осуществлении которых опубликованы в отчетном периоде, по результатам которых были заключены контракты в отчетном периоде</w:t>
            </w:r>
          </w:p>
        </w:tc>
        <w:tc>
          <w:tcPr>
            <w:tcW w:w="993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</w:tcPr>
          <w:p w:rsidR="00D61996" w:rsidRPr="007A79CF" w:rsidRDefault="007611DB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</w:tcPr>
          <w:p w:rsidR="00D61996" w:rsidRPr="007A79CF" w:rsidRDefault="00D61996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61996" w:rsidRPr="007A79CF" w:rsidTr="00BA4DF7">
        <w:trPr>
          <w:gridAfter w:val="1"/>
          <w:wAfter w:w="13" w:type="dxa"/>
        </w:trPr>
        <w:tc>
          <w:tcPr>
            <w:tcW w:w="590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18.</w:t>
            </w:r>
          </w:p>
        </w:tc>
        <w:tc>
          <w:tcPr>
            <w:tcW w:w="4508" w:type="dxa"/>
          </w:tcPr>
          <w:p w:rsidR="00D61996" w:rsidRPr="007A79CF" w:rsidRDefault="00D61996" w:rsidP="00BA4D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Суммарная цена контрактов, заключенных по результатам закупок, осуществленных в отчетном периоде конкурентными способами в отчетном периоде</w:t>
            </w:r>
          </w:p>
        </w:tc>
        <w:tc>
          <w:tcPr>
            <w:tcW w:w="993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тыс. рублей</w:t>
            </w:r>
          </w:p>
        </w:tc>
        <w:tc>
          <w:tcPr>
            <w:tcW w:w="1275" w:type="dxa"/>
          </w:tcPr>
          <w:p w:rsidR="00D61996" w:rsidRPr="007A79CF" w:rsidRDefault="007611DB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2268" w:type="dxa"/>
            <w:vMerge/>
          </w:tcPr>
          <w:p w:rsidR="00D61996" w:rsidRPr="007A79CF" w:rsidRDefault="00D61996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61996" w:rsidRPr="007A79CF" w:rsidTr="00BA4DF7">
        <w:tc>
          <w:tcPr>
            <w:tcW w:w="590" w:type="dxa"/>
          </w:tcPr>
          <w:p w:rsidR="00D61996" w:rsidRPr="007A79CF" w:rsidRDefault="00D61996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57" w:type="dxa"/>
            <w:gridSpan w:val="5"/>
          </w:tcPr>
          <w:p w:rsidR="00D61996" w:rsidRPr="007A79CF" w:rsidRDefault="00D61996" w:rsidP="00BA4DF7">
            <w:pPr>
              <w:pStyle w:val="ConsPlusNormal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</w:rPr>
            </w:pPr>
            <w:r w:rsidRPr="007A79CF">
              <w:rPr>
                <w:rFonts w:ascii="PT Astra Serif" w:hAnsi="PT Astra Serif"/>
                <w:b/>
                <w:sz w:val="24"/>
                <w:szCs w:val="24"/>
              </w:rPr>
              <w:t>Качество организации контроля и осуществления внутреннего финансового аудита</w:t>
            </w:r>
          </w:p>
        </w:tc>
      </w:tr>
      <w:tr w:rsidR="00D61996" w:rsidRPr="007A79CF" w:rsidTr="00A042FF">
        <w:trPr>
          <w:gridAfter w:val="1"/>
          <w:wAfter w:w="13" w:type="dxa"/>
          <w:trHeight w:val="3465"/>
        </w:trPr>
        <w:tc>
          <w:tcPr>
            <w:tcW w:w="590" w:type="dxa"/>
          </w:tcPr>
          <w:p w:rsidR="00D61996" w:rsidRPr="00871665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1665">
              <w:rPr>
                <w:rFonts w:ascii="PT Astra Serif" w:hAnsi="PT Astra Serif"/>
                <w:sz w:val="24"/>
                <w:szCs w:val="24"/>
              </w:rPr>
              <w:t>19.</w:t>
            </w:r>
          </w:p>
        </w:tc>
        <w:tc>
          <w:tcPr>
            <w:tcW w:w="4508" w:type="dxa"/>
          </w:tcPr>
          <w:p w:rsidR="00D61996" w:rsidRPr="00871665" w:rsidRDefault="00D61996" w:rsidP="00BA4D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71665">
              <w:rPr>
                <w:rFonts w:ascii="PT Astra Serif" w:hAnsi="PT Astra Serif"/>
                <w:sz w:val="24"/>
                <w:szCs w:val="24"/>
              </w:rPr>
              <w:t>Правовой акт ГРБС, регламентирующий осуществление внутреннего финансового аудита</w:t>
            </w:r>
          </w:p>
        </w:tc>
        <w:tc>
          <w:tcPr>
            <w:tcW w:w="993" w:type="dxa"/>
            <w:vAlign w:val="center"/>
          </w:tcPr>
          <w:p w:rsidR="00D61996" w:rsidRPr="00871665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71665">
              <w:rPr>
                <w:rFonts w:ascii="PT Astra Serif" w:hAnsi="PT Astra Serif"/>
                <w:sz w:val="24"/>
                <w:szCs w:val="24"/>
              </w:rPr>
              <w:t>реквизиты правового акта</w:t>
            </w:r>
          </w:p>
        </w:tc>
        <w:tc>
          <w:tcPr>
            <w:tcW w:w="1275" w:type="dxa"/>
            <w:vAlign w:val="center"/>
          </w:tcPr>
          <w:p w:rsidR="00D61996" w:rsidRPr="00A042FF" w:rsidRDefault="00A042FF" w:rsidP="00BA4DF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042FF">
              <w:rPr>
                <w:rFonts w:ascii="PT Astra Serif" w:hAnsi="PT Astra Serif"/>
              </w:rPr>
              <w:t>https://adm-melekess.gosuslugi.ru/netcat_files/userfiles/Polozhenie_fin.pdf</w:t>
            </w:r>
          </w:p>
        </w:tc>
        <w:tc>
          <w:tcPr>
            <w:tcW w:w="2268" w:type="dxa"/>
          </w:tcPr>
          <w:p w:rsidR="00D61996" w:rsidRPr="00C07A0C" w:rsidRDefault="00D61996" w:rsidP="00BA4DF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</w:t>
            </w:r>
            <w:r w:rsidRPr="00C07A0C">
              <w:rPr>
                <w:rFonts w:ascii="PT Astra Serif" w:hAnsi="PT Astra Serif"/>
                <w:sz w:val="24"/>
                <w:szCs w:val="24"/>
              </w:rPr>
              <w:t>лавный специалист-эксперт (ревизор) по внутреннему финансовому контролю Финансового управления администрации МО «Мелекесский район» Ульяновской области</w:t>
            </w:r>
          </w:p>
          <w:p w:rsidR="00D61996" w:rsidRPr="00871665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61996" w:rsidRPr="007A79CF" w:rsidTr="00BA4DF7">
        <w:trPr>
          <w:gridAfter w:val="1"/>
          <w:wAfter w:w="13" w:type="dxa"/>
        </w:trPr>
        <w:tc>
          <w:tcPr>
            <w:tcW w:w="590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20.</w:t>
            </w:r>
          </w:p>
        </w:tc>
        <w:tc>
          <w:tcPr>
            <w:tcW w:w="4508" w:type="dxa"/>
          </w:tcPr>
          <w:p w:rsidR="00D61996" w:rsidRPr="007A79CF" w:rsidRDefault="00D61996" w:rsidP="00BA4D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Правовой акт ГРБС, устанавливающий порядок проведения мониторинга качества финансового менеджмента распорядителей бюджетных средств, подведомственных ГРБС</w:t>
            </w:r>
          </w:p>
        </w:tc>
        <w:tc>
          <w:tcPr>
            <w:tcW w:w="993" w:type="dxa"/>
            <w:vAlign w:val="center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реквизиты правового акта</w:t>
            </w:r>
          </w:p>
        </w:tc>
        <w:tc>
          <w:tcPr>
            <w:tcW w:w="1275" w:type="dxa"/>
            <w:vAlign w:val="center"/>
          </w:tcPr>
          <w:p w:rsidR="00D61996" w:rsidRPr="00A042FF" w:rsidRDefault="00A042FF" w:rsidP="00BA4DF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042FF">
              <w:rPr>
                <w:rFonts w:ascii="PT Astra Serif" w:hAnsi="PT Astra Serif"/>
              </w:rPr>
              <w:t>https://adm-melekess.gosuslugi.ru/netcat_files/userfiles/Prikaz_ot_10.04.2024_21_Ob_utverzhdenii_Poryadka_provedeniya_monitoringa_kachestva_finansovogo_menedzhmenta_osuschestvlyaemogo_glavnym</w:t>
            </w:r>
            <w:r w:rsidRPr="00A042FF">
              <w:rPr>
                <w:rFonts w:ascii="PT Astra Serif" w:hAnsi="PT Astra Serif"/>
              </w:rPr>
              <w:lastRenderedPageBreak/>
              <w:t>i_rasporyaditelyami_sredstv_byudzheta.pdf</w:t>
            </w:r>
          </w:p>
        </w:tc>
        <w:tc>
          <w:tcPr>
            <w:tcW w:w="2268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Pr="00251278">
              <w:rPr>
                <w:rFonts w:ascii="Times New Roman" w:hAnsi="Times New Roman" w:cs="Times New Roman"/>
                <w:sz w:val="24"/>
                <w:szCs w:val="24"/>
              </w:rPr>
              <w:t xml:space="preserve"> казначейского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консолидированного бюджета Ф</w:t>
            </w:r>
            <w:r w:rsidRPr="00251278">
              <w:rPr>
                <w:rFonts w:ascii="Times New Roman" w:hAnsi="Times New Roman" w:cs="Times New Roman"/>
                <w:sz w:val="24"/>
                <w:szCs w:val="24"/>
              </w:rPr>
              <w:t>инансового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администрации МО «Мелекесский район»</w:t>
            </w:r>
          </w:p>
        </w:tc>
      </w:tr>
      <w:tr w:rsidR="00D61996" w:rsidRPr="007A79CF" w:rsidTr="00BA4DF7">
        <w:tc>
          <w:tcPr>
            <w:tcW w:w="590" w:type="dxa"/>
          </w:tcPr>
          <w:p w:rsidR="00D61996" w:rsidRPr="007A79CF" w:rsidRDefault="00D61996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57" w:type="dxa"/>
            <w:gridSpan w:val="5"/>
          </w:tcPr>
          <w:p w:rsidR="00D61996" w:rsidRPr="007A79CF" w:rsidRDefault="00D61996" w:rsidP="00BA4DF7">
            <w:pPr>
              <w:pStyle w:val="ConsPlusNormal"/>
              <w:jc w:val="center"/>
              <w:outlineLvl w:val="2"/>
              <w:rPr>
                <w:rFonts w:ascii="PT Astra Serif" w:hAnsi="PT Astra Serif"/>
                <w:b/>
                <w:sz w:val="24"/>
                <w:szCs w:val="24"/>
              </w:rPr>
            </w:pPr>
            <w:r w:rsidRPr="007A79CF">
              <w:rPr>
                <w:rFonts w:ascii="PT Astra Serif" w:hAnsi="PT Astra Serif"/>
                <w:b/>
                <w:sz w:val="24"/>
                <w:szCs w:val="24"/>
              </w:rPr>
              <w:t>Качество организации открытости бюджетного процесса</w:t>
            </w:r>
          </w:p>
        </w:tc>
      </w:tr>
      <w:tr w:rsidR="00D61996" w:rsidRPr="007A79CF" w:rsidTr="00BA4DF7">
        <w:trPr>
          <w:gridAfter w:val="1"/>
          <w:wAfter w:w="13" w:type="dxa"/>
        </w:trPr>
        <w:tc>
          <w:tcPr>
            <w:tcW w:w="590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21.</w:t>
            </w:r>
          </w:p>
        </w:tc>
        <w:tc>
          <w:tcPr>
            <w:tcW w:w="4508" w:type="dxa"/>
          </w:tcPr>
          <w:p w:rsidR="00D61996" w:rsidRPr="007A79CF" w:rsidRDefault="00D61996" w:rsidP="00BA4D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Размещение на официальном сайте ГРБС в информационно-телекоммуникационной сети "Интернет" информации о муниципальных программах МО «Мелекесский район» (о внесении изменений в муниципальные программы МО «Мелекесский район»)</w:t>
            </w:r>
          </w:p>
        </w:tc>
        <w:tc>
          <w:tcPr>
            <w:tcW w:w="993" w:type="dxa"/>
            <w:vAlign w:val="center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center"/>
          </w:tcPr>
          <w:p w:rsidR="00D61996" w:rsidRPr="00A042FF" w:rsidRDefault="007611DB" w:rsidP="00BA4DF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042FF">
              <w:rPr>
                <w:rFonts w:ascii="PT Astra Serif" w:hAnsi="PT Astra Serif"/>
              </w:rPr>
              <w:t>https://adm-melekess.gosuslugi.ru/netcat_files/userfiles/programma_na_2023g_merged.pdf</w:t>
            </w:r>
          </w:p>
        </w:tc>
        <w:tc>
          <w:tcPr>
            <w:tcW w:w="2268" w:type="dxa"/>
          </w:tcPr>
          <w:p w:rsidR="00D61996" w:rsidRPr="007A79CF" w:rsidRDefault="00D61996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A944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Pr="00251278">
              <w:rPr>
                <w:rFonts w:ascii="Times New Roman" w:hAnsi="Times New Roman" w:cs="Times New Roman"/>
                <w:sz w:val="24"/>
                <w:szCs w:val="24"/>
              </w:rPr>
              <w:t xml:space="preserve"> казначейского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консолидированного бюджета Ф</w:t>
            </w:r>
            <w:r w:rsidRPr="00251278">
              <w:rPr>
                <w:rFonts w:ascii="Times New Roman" w:hAnsi="Times New Roman" w:cs="Times New Roman"/>
                <w:sz w:val="24"/>
                <w:szCs w:val="24"/>
              </w:rPr>
              <w:t>инансового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администрации МО «Мелекесский район»</w:t>
            </w:r>
          </w:p>
        </w:tc>
      </w:tr>
      <w:tr w:rsidR="00D61996" w:rsidRPr="007A79CF" w:rsidTr="00BA4DF7">
        <w:trPr>
          <w:gridAfter w:val="1"/>
          <w:wAfter w:w="13" w:type="dxa"/>
        </w:trPr>
        <w:tc>
          <w:tcPr>
            <w:tcW w:w="590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4508" w:type="dxa"/>
          </w:tcPr>
          <w:p w:rsidR="00D61996" w:rsidRPr="007A79CF" w:rsidRDefault="00D61996" w:rsidP="00BA4D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Размещение на официальном сайте ГРБС в информационно-телекоммуникационной сети "Интернет" официальном сайте отчетов о ходе реализации муниципальных программ МО «Мелекесский район»</w:t>
            </w:r>
          </w:p>
        </w:tc>
        <w:tc>
          <w:tcPr>
            <w:tcW w:w="993" w:type="dxa"/>
            <w:vAlign w:val="center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x</w:t>
            </w:r>
          </w:p>
        </w:tc>
        <w:tc>
          <w:tcPr>
            <w:tcW w:w="1275" w:type="dxa"/>
            <w:vAlign w:val="center"/>
          </w:tcPr>
          <w:p w:rsidR="00D61996" w:rsidRPr="00A042FF" w:rsidRDefault="007611DB" w:rsidP="00BA4DF7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A042FF">
              <w:rPr>
                <w:rFonts w:ascii="PT Astra Serif" w:hAnsi="PT Astra Serif"/>
              </w:rPr>
              <w:t>https://adm-melekess.gosuslugi.ru/netcat_files/userfiles/upr_mun_fin_1_kv_2024.jpg</w:t>
            </w:r>
          </w:p>
        </w:tc>
        <w:tc>
          <w:tcPr>
            <w:tcW w:w="2268" w:type="dxa"/>
          </w:tcPr>
          <w:p w:rsidR="00D61996" w:rsidRPr="007A79CF" w:rsidRDefault="00D61996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A944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Pr="00251278">
              <w:rPr>
                <w:rFonts w:ascii="Times New Roman" w:hAnsi="Times New Roman" w:cs="Times New Roman"/>
                <w:sz w:val="24"/>
                <w:szCs w:val="24"/>
              </w:rPr>
              <w:t xml:space="preserve"> казначейского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консолидированного бюджета Ф</w:t>
            </w:r>
            <w:r w:rsidRPr="00251278">
              <w:rPr>
                <w:rFonts w:ascii="Times New Roman" w:hAnsi="Times New Roman" w:cs="Times New Roman"/>
                <w:sz w:val="24"/>
                <w:szCs w:val="24"/>
              </w:rPr>
              <w:t>инансового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администрации МО «Мелекесский район»</w:t>
            </w:r>
          </w:p>
        </w:tc>
      </w:tr>
      <w:tr w:rsidR="00D61996" w:rsidRPr="007A79CF" w:rsidTr="00BA4DF7">
        <w:trPr>
          <w:gridAfter w:val="1"/>
          <w:wAfter w:w="13" w:type="dxa"/>
        </w:trPr>
        <w:tc>
          <w:tcPr>
            <w:tcW w:w="590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23.</w:t>
            </w:r>
          </w:p>
        </w:tc>
        <w:tc>
          <w:tcPr>
            <w:tcW w:w="4508" w:type="dxa"/>
          </w:tcPr>
          <w:p w:rsidR="00D61996" w:rsidRPr="007A79CF" w:rsidRDefault="00D61996" w:rsidP="00BA4D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Количество муниципальных бюджетных учреждений, подведомственных ГРБС</w:t>
            </w:r>
          </w:p>
        </w:tc>
        <w:tc>
          <w:tcPr>
            <w:tcW w:w="993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:rsidR="00D61996" w:rsidRPr="007A79CF" w:rsidRDefault="00D61996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996" w:rsidRPr="0067681E" w:rsidRDefault="00D61996" w:rsidP="00BA4DF7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</w:pPr>
            <w:r w:rsidRPr="0067681E">
              <w:rPr>
                <w:rFonts w:ascii="PT Astra Serif" w:eastAsiaTheme="minorEastAsia" w:hAnsi="PT Astra Serif" w:cs="Calibri"/>
                <w:sz w:val="24"/>
                <w:szCs w:val="24"/>
                <w:lang w:eastAsia="ru-RU"/>
              </w:rPr>
              <w:t>Бюджетный отдел Финансового управления администрации МО «Мелекесский район»</w:t>
            </w:r>
          </w:p>
        </w:tc>
      </w:tr>
      <w:tr w:rsidR="00D61996" w:rsidRPr="007A79CF" w:rsidTr="00BA4DF7">
        <w:trPr>
          <w:gridAfter w:val="1"/>
          <w:wAfter w:w="13" w:type="dxa"/>
        </w:trPr>
        <w:tc>
          <w:tcPr>
            <w:tcW w:w="590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24.</w:t>
            </w:r>
          </w:p>
        </w:tc>
        <w:tc>
          <w:tcPr>
            <w:tcW w:w="4508" w:type="dxa"/>
          </w:tcPr>
          <w:p w:rsidR="00D61996" w:rsidRPr="007A79CF" w:rsidRDefault="00D61996" w:rsidP="00BA4D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Количество муниципальных бюджетных учреждений, подведомственных ГРБС, разместивших информацию о муниципальном задании на отчетный финансовый год на сайте Российской Федерации для размещения информации о государственных (муниципальных) учреждениях (www.bus.gov.ru)</w:t>
            </w:r>
          </w:p>
        </w:tc>
        <w:tc>
          <w:tcPr>
            <w:tcW w:w="993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:rsidR="00D61996" w:rsidRPr="007A79CF" w:rsidRDefault="00D61996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996" w:rsidRPr="00C07A0C" w:rsidRDefault="00D61996" w:rsidP="00BA4DF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</w:t>
            </w:r>
            <w:r w:rsidRPr="00C07A0C">
              <w:rPr>
                <w:rFonts w:ascii="PT Astra Serif" w:hAnsi="PT Astra Serif"/>
                <w:sz w:val="24"/>
                <w:szCs w:val="24"/>
              </w:rPr>
              <w:t>лавный специалист-эксперт (ревизор) по внутреннему финансовому контролю Финансового управления администрации МО «Мелекесский район» Ульяновской области</w:t>
            </w:r>
          </w:p>
          <w:p w:rsidR="00D61996" w:rsidRPr="00C07A0C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61996" w:rsidRPr="007A79CF" w:rsidTr="00BA4DF7">
        <w:trPr>
          <w:gridAfter w:val="1"/>
          <w:wAfter w:w="13" w:type="dxa"/>
        </w:trPr>
        <w:tc>
          <w:tcPr>
            <w:tcW w:w="590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25.</w:t>
            </w:r>
          </w:p>
        </w:tc>
        <w:tc>
          <w:tcPr>
            <w:tcW w:w="4508" w:type="dxa"/>
          </w:tcPr>
          <w:p w:rsidR="00D61996" w:rsidRPr="007A79CF" w:rsidRDefault="00D61996" w:rsidP="00BA4D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Количество муниципальных казенных учреждений, подведомственных ГРБС</w:t>
            </w:r>
          </w:p>
        </w:tc>
        <w:tc>
          <w:tcPr>
            <w:tcW w:w="993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:rsidR="00D61996" w:rsidRPr="007A79CF" w:rsidRDefault="00D61996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996" w:rsidRPr="00C07A0C" w:rsidRDefault="00D61996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 xml:space="preserve">Бюджетный отдел Финансового управления </w:t>
            </w:r>
            <w:r>
              <w:rPr>
                <w:rFonts w:ascii="PT Astra Serif" w:hAnsi="PT Astra Serif"/>
                <w:sz w:val="24"/>
                <w:szCs w:val="24"/>
              </w:rPr>
              <w:t>администрации МО «Мелекесский район»</w:t>
            </w:r>
          </w:p>
        </w:tc>
      </w:tr>
      <w:tr w:rsidR="00D61996" w:rsidRPr="007A79CF" w:rsidTr="00A042FF">
        <w:trPr>
          <w:gridAfter w:val="1"/>
          <w:wAfter w:w="13" w:type="dxa"/>
          <w:trHeight w:val="3348"/>
        </w:trPr>
        <w:tc>
          <w:tcPr>
            <w:tcW w:w="590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508" w:type="dxa"/>
          </w:tcPr>
          <w:p w:rsidR="00D61996" w:rsidRPr="007A79CF" w:rsidRDefault="00D61996" w:rsidP="00BA4D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  <w:r w:rsidRPr="00DB265C">
              <w:rPr>
                <w:rFonts w:ascii="PT Astra Serif" w:hAnsi="PT Astra Serif"/>
                <w:sz w:val="24"/>
                <w:szCs w:val="24"/>
              </w:rPr>
              <w:t xml:space="preserve">казенных учреждений, подведомственных ГРБС, разместивших </w:t>
            </w:r>
            <w:r w:rsidRPr="00DB265C">
              <w:rPr>
                <w:rFonts w:ascii="PT Astra Serif" w:hAnsi="PT Astra Serif"/>
                <w:snapToGrid w:val="0"/>
                <w:color w:val="000000"/>
                <w:sz w:val="24"/>
                <w:szCs w:val="24"/>
              </w:rPr>
              <w:t>информацию о   показателях бюджетной сметы</w:t>
            </w:r>
            <w:r w:rsidRPr="00DB265C">
              <w:rPr>
                <w:rFonts w:ascii="PT Astra Serif" w:hAnsi="PT Astra Serif"/>
                <w:sz w:val="24"/>
                <w:szCs w:val="24"/>
              </w:rPr>
              <w:t xml:space="preserve"> на отчетный финансовый год на официальном сайте Российской Федерации для размещения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информации о государственных (муниципальных) учреждениях (</w:t>
            </w:r>
            <w:hyperlink r:id="rId4" w:history="1">
              <w:r w:rsidRPr="007A79CF">
                <w:rPr>
                  <w:rStyle w:val="a3"/>
                  <w:rFonts w:ascii="PT Astra Serif" w:hAnsi="PT Astra Serif"/>
                  <w:sz w:val="24"/>
                  <w:szCs w:val="24"/>
                </w:rPr>
                <w:t>www.bus.gov.ru</w:t>
              </w:r>
            </w:hyperlink>
            <w:r w:rsidRPr="007A79C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:rsidR="00D61996" w:rsidRPr="007A79CF" w:rsidRDefault="00D61996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1996" w:rsidRPr="00C07A0C" w:rsidRDefault="00D61996" w:rsidP="00BA4DF7">
            <w:pPr>
              <w:pStyle w:val="ConsPlusNonformat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</w:t>
            </w:r>
            <w:r w:rsidRPr="00C07A0C">
              <w:rPr>
                <w:rFonts w:ascii="PT Astra Serif" w:hAnsi="PT Astra Serif"/>
                <w:sz w:val="24"/>
                <w:szCs w:val="24"/>
              </w:rPr>
              <w:t>лавный специалист-эксперт (ревизор) по внутреннему финансовому контролю Финансового управления администрации МО «Мелекесский район» Ульяновской области</w:t>
            </w:r>
          </w:p>
          <w:p w:rsidR="00D61996" w:rsidRPr="00C07A0C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61996" w:rsidRPr="007A79CF" w:rsidTr="00BA4DF7">
        <w:trPr>
          <w:gridAfter w:val="1"/>
          <w:wAfter w:w="13" w:type="dxa"/>
        </w:trPr>
        <w:tc>
          <w:tcPr>
            <w:tcW w:w="590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27.</w:t>
            </w:r>
          </w:p>
        </w:tc>
        <w:tc>
          <w:tcPr>
            <w:tcW w:w="4508" w:type="dxa"/>
          </w:tcPr>
          <w:p w:rsidR="00D61996" w:rsidRPr="007A79CF" w:rsidRDefault="00D61996" w:rsidP="00BA4D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Количество муниципальных казенных учреждений, подведомственных ГРБС, разместивших баланс учреждения (форма 0503130) за предшествующий отчетному финансовому году на официальном сайте Российской Федерации для размещения информации о государственных (муниципальных) учреждениях (www.bus.gov.ru)</w:t>
            </w:r>
          </w:p>
        </w:tc>
        <w:tc>
          <w:tcPr>
            <w:tcW w:w="993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:rsidR="00D61996" w:rsidRPr="007A79CF" w:rsidRDefault="00D61996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61996" w:rsidRPr="00C07A0C" w:rsidRDefault="00D61996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7A79CF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79CF">
              <w:rPr>
                <w:rFonts w:ascii="Times New Roman" w:hAnsi="Times New Roman" w:cs="Times New Roman"/>
                <w:sz w:val="24"/>
                <w:szCs w:val="24"/>
              </w:rPr>
              <w:t>, отчетности и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A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консолидированного </w:t>
            </w:r>
            <w:r w:rsidRPr="007A79CF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управления МО «Мелекесский район»</w:t>
            </w:r>
          </w:p>
        </w:tc>
      </w:tr>
      <w:tr w:rsidR="00D61996" w:rsidRPr="007A79CF" w:rsidTr="00BA4DF7">
        <w:trPr>
          <w:gridAfter w:val="1"/>
          <w:wAfter w:w="13" w:type="dxa"/>
        </w:trPr>
        <w:tc>
          <w:tcPr>
            <w:tcW w:w="590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28.</w:t>
            </w:r>
          </w:p>
        </w:tc>
        <w:tc>
          <w:tcPr>
            <w:tcW w:w="4508" w:type="dxa"/>
          </w:tcPr>
          <w:p w:rsidR="00D61996" w:rsidRPr="007A79CF" w:rsidRDefault="00D61996" w:rsidP="00BA4DF7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  <w:r>
              <w:rPr>
                <w:rFonts w:ascii="PT Astra Serif" w:hAnsi="PT Astra Serif"/>
                <w:sz w:val="24"/>
                <w:szCs w:val="24"/>
              </w:rPr>
              <w:t>муниципальных</w:t>
            </w:r>
            <w:r w:rsidRPr="007A79CF">
              <w:rPr>
                <w:rFonts w:ascii="PT Astra Serif" w:hAnsi="PT Astra Serif"/>
                <w:sz w:val="24"/>
                <w:szCs w:val="24"/>
              </w:rPr>
              <w:t xml:space="preserve"> бюджетных учреждений, подведомственных ГРБС, разместивших баланс учреждения (форма 0503730) за предшествующий отчетному финансовому году на официальном сайте Российской Федерации для размещения информации о государственных (муниципальных) учреждениях (www.bus.gov.ru)</w:t>
            </w:r>
          </w:p>
        </w:tc>
        <w:tc>
          <w:tcPr>
            <w:tcW w:w="993" w:type="dxa"/>
          </w:tcPr>
          <w:p w:rsidR="00D61996" w:rsidRPr="007A79CF" w:rsidRDefault="00D61996" w:rsidP="00BA4DF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A79CF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  <w:tc>
          <w:tcPr>
            <w:tcW w:w="1275" w:type="dxa"/>
          </w:tcPr>
          <w:p w:rsidR="00D61996" w:rsidRPr="007A79CF" w:rsidRDefault="00D61996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61996" w:rsidRPr="00C07A0C" w:rsidRDefault="00D61996" w:rsidP="00BA4DF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61996" w:rsidRPr="00067BD9" w:rsidRDefault="00D61996" w:rsidP="00D61996">
      <w:pPr>
        <w:pStyle w:val="ConsPlusNormal"/>
        <w:jc w:val="both"/>
        <w:rPr>
          <w:rFonts w:ascii="PT Astra Serif" w:hAnsi="PT Astra Serif"/>
          <w:sz w:val="28"/>
          <w:szCs w:val="28"/>
          <w:lang w:val="en-US"/>
        </w:rPr>
      </w:pPr>
    </w:p>
    <w:p w:rsidR="00D61996" w:rsidRPr="00877F77" w:rsidRDefault="00D61996" w:rsidP="00D6199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 w:rsidRPr="00877F77">
        <w:rPr>
          <w:rFonts w:ascii="PT Astra Serif" w:hAnsi="PT Astra Serif"/>
          <w:sz w:val="28"/>
          <w:szCs w:val="28"/>
        </w:rPr>
        <w:t xml:space="preserve">Руководитель _________ </w:t>
      </w:r>
      <w:r w:rsidR="00A042FF">
        <w:rPr>
          <w:rFonts w:ascii="PT Astra Serif" w:hAnsi="PT Astra Serif"/>
          <w:sz w:val="28"/>
          <w:szCs w:val="28"/>
        </w:rPr>
        <w:t xml:space="preserve">       </w:t>
      </w:r>
      <w:r w:rsidRPr="00877F77">
        <w:rPr>
          <w:rFonts w:ascii="PT Astra Serif" w:hAnsi="PT Astra Serif"/>
          <w:sz w:val="28"/>
          <w:szCs w:val="28"/>
        </w:rPr>
        <w:t>_____________________</w:t>
      </w:r>
    </w:p>
    <w:p w:rsidR="00D61996" w:rsidRPr="00A042FF" w:rsidRDefault="00D61996" w:rsidP="00D61996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A042FF">
        <w:rPr>
          <w:rFonts w:ascii="PT Astra Serif" w:hAnsi="PT Astra Serif"/>
          <w:sz w:val="24"/>
          <w:szCs w:val="24"/>
        </w:rPr>
        <w:t xml:space="preserve">            </w:t>
      </w:r>
      <w:r w:rsidR="00A042FF">
        <w:rPr>
          <w:rFonts w:ascii="PT Astra Serif" w:hAnsi="PT Astra Serif"/>
          <w:sz w:val="24"/>
          <w:szCs w:val="24"/>
        </w:rPr>
        <w:t xml:space="preserve">                  </w:t>
      </w:r>
      <w:r w:rsidRPr="00A042FF">
        <w:rPr>
          <w:rFonts w:ascii="PT Astra Serif" w:hAnsi="PT Astra Serif"/>
          <w:sz w:val="24"/>
          <w:szCs w:val="24"/>
        </w:rPr>
        <w:t xml:space="preserve"> (</w:t>
      </w:r>
      <w:proofErr w:type="gramStart"/>
      <w:r w:rsidRPr="00A042FF">
        <w:rPr>
          <w:rFonts w:ascii="PT Astra Serif" w:hAnsi="PT Astra Serif"/>
          <w:sz w:val="24"/>
          <w:szCs w:val="24"/>
        </w:rPr>
        <w:t>подпись)</w:t>
      </w:r>
      <w:r w:rsidR="00A042FF">
        <w:rPr>
          <w:rFonts w:ascii="PT Astra Serif" w:hAnsi="PT Astra Serif"/>
          <w:sz w:val="24"/>
          <w:szCs w:val="24"/>
        </w:rPr>
        <w:t xml:space="preserve">   </w:t>
      </w:r>
      <w:proofErr w:type="gramEnd"/>
      <w:r w:rsidR="00A042FF">
        <w:rPr>
          <w:rFonts w:ascii="PT Astra Serif" w:hAnsi="PT Astra Serif"/>
          <w:sz w:val="24"/>
          <w:szCs w:val="24"/>
        </w:rPr>
        <w:t xml:space="preserve">         </w:t>
      </w:r>
      <w:r w:rsidRPr="00A042FF">
        <w:rPr>
          <w:rFonts w:ascii="PT Astra Serif" w:hAnsi="PT Astra Serif"/>
          <w:sz w:val="24"/>
          <w:szCs w:val="24"/>
        </w:rPr>
        <w:t xml:space="preserve"> (расшифровка подписи)</w:t>
      </w:r>
    </w:p>
    <w:p w:rsidR="00D61996" w:rsidRPr="00877F77" w:rsidRDefault="00D61996" w:rsidP="00D61996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D61996" w:rsidRPr="00877F77" w:rsidRDefault="007611DB" w:rsidP="00D6199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Исполнитель</w:t>
      </w:r>
      <w:r w:rsidR="00477BBF">
        <w:rPr>
          <w:rFonts w:ascii="PT Astra Serif" w:hAnsi="PT Astra Serif"/>
          <w:sz w:val="28"/>
          <w:szCs w:val="28"/>
        </w:rPr>
        <w:t>___________         ______________</w:t>
      </w:r>
      <w:r w:rsidR="00D61996" w:rsidRPr="00877F77">
        <w:rPr>
          <w:rFonts w:ascii="PT Astra Serif" w:hAnsi="PT Astra Serif"/>
          <w:sz w:val="28"/>
          <w:szCs w:val="28"/>
        </w:rPr>
        <w:t xml:space="preserve">    </w:t>
      </w:r>
      <w:r w:rsidR="00477BBF">
        <w:rPr>
          <w:rFonts w:ascii="PT Astra Serif" w:hAnsi="PT Astra Serif"/>
          <w:sz w:val="28"/>
          <w:szCs w:val="28"/>
        </w:rPr>
        <w:t xml:space="preserve">    </w:t>
      </w:r>
      <w:r w:rsidR="00D61996" w:rsidRPr="00877F77">
        <w:rPr>
          <w:rFonts w:ascii="PT Astra Serif" w:hAnsi="PT Astra Serif"/>
          <w:sz w:val="28"/>
          <w:szCs w:val="28"/>
        </w:rPr>
        <w:t xml:space="preserve"> _________</w:t>
      </w:r>
      <w:r w:rsidR="00477BBF">
        <w:rPr>
          <w:rFonts w:ascii="PT Astra Serif" w:hAnsi="PT Astra Serif"/>
          <w:sz w:val="28"/>
          <w:szCs w:val="28"/>
        </w:rPr>
        <w:t>___________</w:t>
      </w:r>
    </w:p>
    <w:p w:rsidR="00D61996" w:rsidRPr="00A042FF" w:rsidRDefault="00D61996" w:rsidP="00D61996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877F77">
        <w:rPr>
          <w:rFonts w:ascii="PT Astra Serif" w:hAnsi="PT Astra Serif"/>
          <w:sz w:val="28"/>
          <w:szCs w:val="28"/>
        </w:rPr>
        <w:t xml:space="preserve">       </w:t>
      </w:r>
      <w:r w:rsidRPr="00477BBF">
        <w:rPr>
          <w:rFonts w:ascii="PT Astra Serif" w:hAnsi="PT Astra Serif"/>
          <w:sz w:val="24"/>
          <w:szCs w:val="24"/>
        </w:rPr>
        <w:t xml:space="preserve">     </w:t>
      </w:r>
      <w:r w:rsidR="00A042FF">
        <w:rPr>
          <w:rFonts w:ascii="PT Astra Serif" w:hAnsi="PT Astra Serif"/>
          <w:sz w:val="24"/>
          <w:szCs w:val="24"/>
        </w:rPr>
        <w:t xml:space="preserve">            </w:t>
      </w:r>
      <w:r w:rsidRPr="00477BBF">
        <w:rPr>
          <w:rFonts w:ascii="PT Astra Serif" w:hAnsi="PT Astra Serif"/>
          <w:sz w:val="24"/>
          <w:szCs w:val="24"/>
        </w:rPr>
        <w:t>(должность)</w:t>
      </w:r>
      <w:r w:rsidR="00A042FF">
        <w:rPr>
          <w:rFonts w:ascii="PT Astra Serif" w:hAnsi="PT Astra Serif"/>
          <w:sz w:val="24"/>
          <w:szCs w:val="24"/>
        </w:rPr>
        <w:t xml:space="preserve">        </w:t>
      </w:r>
      <w:r w:rsidRPr="00477BBF">
        <w:rPr>
          <w:rFonts w:ascii="PT Astra Serif" w:hAnsi="PT Astra Serif"/>
          <w:sz w:val="24"/>
          <w:szCs w:val="24"/>
        </w:rPr>
        <w:t>(подп</w:t>
      </w:r>
      <w:r w:rsidR="00477BBF" w:rsidRPr="00477BBF">
        <w:rPr>
          <w:rFonts w:ascii="PT Astra Serif" w:hAnsi="PT Astra Serif"/>
          <w:sz w:val="24"/>
          <w:szCs w:val="24"/>
        </w:rPr>
        <w:t xml:space="preserve">ись) </w:t>
      </w:r>
      <w:r w:rsidR="00A042FF">
        <w:rPr>
          <w:rFonts w:ascii="PT Astra Serif" w:hAnsi="PT Astra Serif"/>
          <w:sz w:val="24"/>
          <w:szCs w:val="24"/>
        </w:rPr>
        <w:t xml:space="preserve">   </w:t>
      </w:r>
      <w:r w:rsidR="007611DB" w:rsidRPr="00477BBF">
        <w:rPr>
          <w:rFonts w:ascii="PT Astra Serif" w:hAnsi="PT Astra Serif"/>
          <w:sz w:val="24"/>
          <w:szCs w:val="24"/>
        </w:rPr>
        <w:t>(расшифровка</w:t>
      </w:r>
      <w:r w:rsidR="00A042FF">
        <w:rPr>
          <w:rFonts w:ascii="PT Astra Serif" w:hAnsi="PT Astra Serif"/>
          <w:sz w:val="24"/>
          <w:szCs w:val="24"/>
        </w:rPr>
        <w:t xml:space="preserve"> </w:t>
      </w:r>
      <w:r w:rsidRPr="00477BBF">
        <w:rPr>
          <w:rFonts w:ascii="PT Astra Serif" w:hAnsi="PT Astra Serif"/>
          <w:sz w:val="24"/>
          <w:szCs w:val="24"/>
        </w:rPr>
        <w:t xml:space="preserve">подписи) </w:t>
      </w:r>
      <w:r>
        <w:rPr>
          <w:rFonts w:ascii="PT Astra Serif" w:hAnsi="PT Astra Serif"/>
          <w:sz w:val="28"/>
          <w:szCs w:val="28"/>
        </w:rPr>
        <w:t xml:space="preserve">        </w:t>
      </w:r>
      <w:r w:rsidR="00A042FF">
        <w:rPr>
          <w:rFonts w:ascii="PT Astra Serif" w:hAnsi="PT Astra Serif"/>
          <w:sz w:val="28"/>
          <w:szCs w:val="28"/>
        </w:rPr>
        <w:t xml:space="preserve">        </w:t>
      </w:r>
      <w:r>
        <w:rPr>
          <w:rFonts w:ascii="PT Astra Serif" w:hAnsi="PT Astra Serif"/>
          <w:sz w:val="28"/>
          <w:szCs w:val="28"/>
        </w:rPr>
        <w:t xml:space="preserve">    </w:t>
      </w:r>
      <w:bookmarkStart w:id="1" w:name="_GoBack"/>
      <w:bookmarkEnd w:id="1"/>
      <w:r w:rsidR="00A042FF" w:rsidRPr="00A042FF">
        <w:rPr>
          <w:rFonts w:ascii="PT Astra Serif" w:hAnsi="PT Astra Serif"/>
          <w:sz w:val="24"/>
          <w:szCs w:val="24"/>
        </w:rPr>
        <w:t>(телефон)</w:t>
      </w:r>
    </w:p>
    <w:p w:rsidR="00A042FF" w:rsidRDefault="00A042FF" w:rsidP="00A042FF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D61996" w:rsidRPr="00A042FF" w:rsidRDefault="00D61996" w:rsidP="00A042FF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A042FF">
        <w:rPr>
          <w:rFonts w:ascii="PT Astra Serif" w:hAnsi="PT Astra Serif"/>
          <w:sz w:val="24"/>
          <w:szCs w:val="24"/>
        </w:rPr>
        <w:t>"__" _________ 20__ г.</w:t>
      </w:r>
    </w:p>
    <w:p w:rsidR="00D61996" w:rsidRPr="00A042FF" w:rsidRDefault="00D61996" w:rsidP="00D61996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D61996" w:rsidRPr="00A042FF" w:rsidRDefault="00D61996" w:rsidP="00D61996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D61996" w:rsidRDefault="00D61996" w:rsidP="00D61996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8B45B3" w:rsidRDefault="00A042FF"/>
    <w:sectPr w:rsidR="008B45B3" w:rsidSect="00A042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EC"/>
    <w:rsid w:val="00477BBF"/>
    <w:rsid w:val="004D41EC"/>
    <w:rsid w:val="005C14C7"/>
    <w:rsid w:val="007611DB"/>
    <w:rsid w:val="00A042FF"/>
    <w:rsid w:val="00C06A8D"/>
    <w:rsid w:val="00D6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5E87"/>
  <w15:chartTrackingRefBased/>
  <w15:docId w15:val="{D5D5F2B0-1BB2-40F0-AA63-B2C265B9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9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9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619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D619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2024-07-18T05:56:00Z</dcterms:created>
  <dcterms:modified xsi:type="dcterms:W3CDTF">2024-07-18T05:56:00Z</dcterms:modified>
</cp:coreProperties>
</file>